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3CA8C" w14:textId="77777777" w:rsidR="00306845" w:rsidRDefault="00306845" w:rsidP="00D55AC2">
      <w:pPr>
        <w:spacing w:after="120"/>
        <w:jc w:val="both"/>
        <w:rPr>
          <w:color w:val="000000" w:themeColor="text1"/>
          <w:sz w:val="22"/>
          <w:szCs w:val="22"/>
        </w:rPr>
      </w:pPr>
    </w:p>
    <w:p w14:paraId="72B5AB43" w14:textId="6CD65D9C" w:rsidR="00E1010F" w:rsidRPr="00E1010F" w:rsidRDefault="00E1010F" w:rsidP="00D55AC2">
      <w:pPr>
        <w:spacing w:after="120"/>
        <w:jc w:val="both"/>
        <w:rPr>
          <w:color w:val="000000" w:themeColor="text1"/>
          <w:sz w:val="22"/>
          <w:szCs w:val="22"/>
        </w:rPr>
      </w:pPr>
      <w:r w:rsidRPr="00E1010F">
        <w:rPr>
          <w:color w:val="000000" w:themeColor="text1"/>
          <w:sz w:val="22"/>
          <w:szCs w:val="22"/>
        </w:rPr>
        <w:t xml:space="preserve">The following list of ICD-10-CM codes is designed to identify potentially reportable tumors to the Florida Cancer Data System (FCDS). Please note that some ICD-10-CM codes include conditions that are not reportable. Each record should be reviewed and evaluated individually to determine its reportability. </w:t>
      </w:r>
      <w:r w:rsidR="009568D0" w:rsidRPr="009568D0">
        <w:rPr>
          <w:color w:val="000000" w:themeColor="text1"/>
          <w:sz w:val="22"/>
          <w:szCs w:val="22"/>
        </w:rPr>
        <w:t>Please see the FCDS DAM, Section I</w:t>
      </w:r>
      <w:r w:rsidR="00306845">
        <w:rPr>
          <w:color w:val="000000" w:themeColor="text1"/>
          <w:sz w:val="22"/>
          <w:szCs w:val="22"/>
        </w:rPr>
        <w:t>,</w:t>
      </w:r>
      <w:r w:rsidR="009568D0" w:rsidRPr="009568D0">
        <w:rPr>
          <w:color w:val="000000" w:themeColor="text1"/>
          <w:sz w:val="22"/>
          <w:szCs w:val="22"/>
        </w:rPr>
        <w:t xml:space="preserve"> to review the reportability requirements. </w:t>
      </w:r>
      <w:r w:rsidRPr="00E1010F">
        <w:rPr>
          <w:color w:val="000000" w:themeColor="text1"/>
          <w:sz w:val="22"/>
          <w:szCs w:val="22"/>
        </w:rPr>
        <w:t>The nationwide implementation of ICD-10-CM is expected for all hospitals on October 1, 202</w:t>
      </w:r>
      <w:r w:rsidR="00306845">
        <w:rPr>
          <w:color w:val="000000" w:themeColor="text1"/>
          <w:sz w:val="22"/>
          <w:szCs w:val="22"/>
        </w:rPr>
        <w:t>5.</w:t>
      </w:r>
    </w:p>
    <w:tbl>
      <w:tblPr>
        <w:tblW w:w="541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1"/>
        <w:gridCol w:w="7511"/>
      </w:tblGrid>
      <w:tr w:rsidR="00D55AC2" w:rsidRPr="00D55AC2" w14:paraId="62DE507A" w14:textId="77777777" w:rsidTr="00306845">
        <w:trPr>
          <w:cantSplit/>
          <w:trHeight w:val="410"/>
        </w:trPr>
        <w:tc>
          <w:tcPr>
            <w:tcW w:w="1290" w:type="pct"/>
            <w:shd w:val="clear" w:color="auto" w:fill="F7CAAC" w:themeFill="accent2" w:themeFillTint="66"/>
            <w:vAlign w:val="center"/>
          </w:tcPr>
          <w:p w14:paraId="015A4249" w14:textId="77777777" w:rsidR="00D55AC2" w:rsidRPr="00B32416" w:rsidRDefault="00D55AC2" w:rsidP="00B6709E">
            <w:pPr>
              <w:rPr>
                <w:b/>
                <w:sz w:val="22"/>
                <w:szCs w:val="22"/>
              </w:rPr>
            </w:pPr>
            <w:r w:rsidRPr="00B32416">
              <w:rPr>
                <w:b/>
                <w:sz w:val="22"/>
                <w:szCs w:val="22"/>
              </w:rPr>
              <w:t xml:space="preserve">ICD-10-CM Code        </w:t>
            </w:r>
          </w:p>
        </w:tc>
        <w:tc>
          <w:tcPr>
            <w:tcW w:w="3710" w:type="pct"/>
            <w:shd w:val="clear" w:color="auto" w:fill="F7CAAC" w:themeFill="accent2" w:themeFillTint="66"/>
            <w:vAlign w:val="center"/>
          </w:tcPr>
          <w:p w14:paraId="7EAD8BEF" w14:textId="36CA2965" w:rsidR="00D55AC2" w:rsidRPr="00B32416" w:rsidRDefault="00B32416" w:rsidP="00B6709E">
            <w:pPr>
              <w:rPr>
                <w:b/>
                <w:sz w:val="22"/>
                <w:szCs w:val="22"/>
              </w:rPr>
            </w:pPr>
            <w:r w:rsidRPr="00B32416">
              <w:rPr>
                <w:b/>
                <w:sz w:val="22"/>
                <w:szCs w:val="22"/>
              </w:rPr>
              <w:t>ICD-10-CM Code Definition</w:t>
            </w:r>
          </w:p>
        </w:tc>
      </w:tr>
      <w:tr w:rsidR="00D55AC2" w:rsidRPr="00D55AC2" w14:paraId="153B4202" w14:textId="77777777" w:rsidTr="00306845">
        <w:trPr>
          <w:cantSplit/>
          <w:trHeight w:val="410"/>
        </w:trPr>
        <w:tc>
          <w:tcPr>
            <w:tcW w:w="1290" w:type="pct"/>
            <w:vAlign w:val="center"/>
          </w:tcPr>
          <w:p w14:paraId="05C2390E" w14:textId="27EA96CD" w:rsidR="00D55AC2" w:rsidRPr="00D55AC2" w:rsidRDefault="00D55AC2" w:rsidP="00B6709E">
            <w:pPr>
              <w:rPr>
                <w:sz w:val="22"/>
                <w:szCs w:val="22"/>
              </w:rPr>
            </w:pPr>
            <w:r w:rsidRPr="00D55AC2">
              <w:rPr>
                <w:sz w:val="22"/>
                <w:szCs w:val="22"/>
              </w:rPr>
              <w:t>C00 – C43</w:t>
            </w:r>
          </w:p>
        </w:tc>
        <w:tc>
          <w:tcPr>
            <w:tcW w:w="3710" w:type="pct"/>
            <w:vAlign w:val="center"/>
          </w:tcPr>
          <w:p w14:paraId="071394AC" w14:textId="77777777" w:rsidR="00D55AC2" w:rsidRPr="00D55AC2" w:rsidRDefault="00D55AC2" w:rsidP="00B6709E">
            <w:pPr>
              <w:rPr>
                <w:sz w:val="22"/>
                <w:szCs w:val="22"/>
              </w:rPr>
            </w:pPr>
            <w:r w:rsidRPr="00D55AC2">
              <w:rPr>
                <w:sz w:val="22"/>
                <w:szCs w:val="22"/>
              </w:rPr>
              <w:t xml:space="preserve">Malignant neoplasms </w:t>
            </w:r>
          </w:p>
        </w:tc>
      </w:tr>
      <w:tr w:rsidR="00D55AC2" w:rsidRPr="00D55AC2" w14:paraId="54988C5A" w14:textId="77777777" w:rsidTr="00306845">
        <w:trPr>
          <w:cantSplit/>
          <w:trHeight w:val="410"/>
        </w:trPr>
        <w:tc>
          <w:tcPr>
            <w:tcW w:w="1290" w:type="pct"/>
          </w:tcPr>
          <w:p w14:paraId="1D60110F" w14:textId="248F6160" w:rsidR="00D55AC2" w:rsidRPr="00D55AC2" w:rsidRDefault="00D55AC2" w:rsidP="00B6709E">
            <w:pPr>
              <w:rPr>
                <w:sz w:val="22"/>
                <w:szCs w:val="22"/>
              </w:rPr>
            </w:pPr>
            <w:r w:rsidRPr="00D55AC2">
              <w:rPr>
                <w:sz w:val="22"/>
                <w:szCs w:val="22"/>
              </w:rPr>
              <w:t>C44.</w:t>
            </w:r>
            <w:r w:rsidR="00DB4FAB">
              <w:rPr>
                <w:sz w:val="22"/>
                <w:szCs w:val="22"/>
              </w:rPr>
              <w:t>13-</w:t>
            </w:r>
          </w:p>
        </w:tc>
        <w:tc>
          <w:tcPr>
            <w:tcW w:w="3710" w:type="pct"/>
          </w:tcPr>
          <w:p w14:paraId="097B271F" w14:textId="77777777" w:rsidR="00D55AC2" w:rsidRPr="00D55AC2" w:rsidRDefault="00D55AC2" w:rsidP="00B6709E">
            <w:pPr>
              <w:rPr>
                <w:sz w:val="22"/>
                <w:szCs w:val="22"/>
              </w:rPr>
            </w:pPr>
            <w:r w:rsidRPr="00D55AC2">
              <w:rPr>
                <w:sz w:val="22"/>
                <w:szCs w:val="22"/>
              </w:rPr>
              <w:t>Sebaceous Cell Carcinoma of Skin of Eyelid, Including Canthus</w:t>
            </w:r>
          </w:p>
        </w:tc>
      </w:tr>
      <w:tr w:rsidR="00D55AC2" w:rsidRPr="00D55AC2" w14:paraId="10227D9D" w14:textId="77777777" w:rsidTr="00306845">
        <w:trPr>
          <w:cantSplit/>
          <w:trHeight w:val="410"/>
        </w:trPr>
        <w:tc>
          <w:tcPr>
            <w:tcW w:w="1290" w:type="pct"/>
          </w:tcPr>
          <w:p w14:paraId="7B4D4C75" w14:textId="301B6BDA" w:rsidR="00D55AC2" w:rsidRPr="00D55AC2" w:rsidRDefault="00D55AC2" w:rsidP="00B6709E">
            <w:pPr>
              <w:rPr>
                <w:sz w:val="22"/>
                <w:szCs w:val="22"/>
              </w:rPr>
            </w:pPr>
            <w:r w:rsidRPr="00D55AC2">
              <w:rPr>
                <w:sz w:val="22"/>
                <w:szCs w:val="22"/>
              </w:rPr>
              <w:t>C45 – C9</w:t>
            </w:r>
            <w:r w:rsidR="00DB4FAB">
              <w:rPr>
                <w:sz w:val="22"/>
                <w:szCs w:val="22"/>
              </w:rPr>
              <w:t>6</w:t>
            </w:r>
          </w:p>
        </w:tc>
        <w:tc>
          <w:tcPr>
            <w:tcW w:w="3710" w:type="pct"/>
          </w:tcPr>
          <w:p w14:paraId="5F7B16B1" w14:textId="22E6189B" w:rsidR="00D55AC2" w:rsidRPr="00D55AC2" w:rsidRDefault="00D55AC2" w:rsidP="00B6709E">
            <w:pPr>
              <w:rPr>
                <w:sz w:val="22"/>
                <w:szCs w:val="22"/>
              </w:rPr>
            </w:pPr>
            <w:r w:rsidRPr="00D55AC2">
              <w:rPr>
                <w:sz w:val="22"/>
                <w:szCs w:val="22"/>
              </w:rPr>
              <w:t>Malignant neoplasms</w:t>
            </w:r>
            <w:r w:rsidR="00392519">
              <w:rPr>
                <w:sz w:val="22"/>
                <w:szCs w:val="22"/>
              </w:rPr>
              <w:t xml:space="preserve"> including Hematopoietic neoplasms</w:t>
            </w:r>
          </w:p>
        </w:tc>
      </w:tr>
      <w:tr w:rsidR="00D55AC2" w:rsidRPr="00D55AC2" w14:paraId="3144C777" w14:textId="77777777" w:rsidTr="00306845">
        <w:trPr>
          <w:cantSplit/>
          <w:trHeight w:val="410"/>
        </w:trPr>
        <w:tc>
          <w:tcPr>
            <w:tcW w:w="1290" w:type="pct"/>
            <w:vAlign w:val="center"/>
          </w:tcPr>
          <w:p w14:paraId="1639A670" w14:textId="6B01AE29" w:rsidR="00D55AC2" w:rsidRPr="00D55AC2" w:rsidRDefault="00D55AC2" w:rsidP="00B6709E">
            <w:pPr>
              <w:rPr>
                <w:sz w:val="22"/>
                <w:szCs w:val="22"/>
              </w:rPr>
            </w:pPr>
            <w:r w:rsidRPr="00D55AC2">
              <w:rPr>
                <w:sz w:val="22"/>
                <w:szCs w:val="22"/>
              </w:rPr>
              <w:t>C4A</w:t>
            </w:r>
            <w:r w:rsidR="00DB4FAB">
              <w:rPr>
                <w:sz w:val="22"/>
                <w:szCs w:val="22"/>
              </w:rPr>
              <w:t>-</w:t>
            </w:r>
          </w:p>
        </w:tc>
        <w:tc>
          <w:tcPr>
            <w:tcW w:w="3710" w:type="pct"/>
            <w:vAlign w:val="center"/>
          </w:tcPr>
          <w:p w14:paraId="3CB2C538" w14:textId="77777777" w:rsidR="00D55AC2" w:rsidRPr="00D55AC2" w:rsidRDefault="00D55AC2" w:rsidP="00B6709E">
            <w:pPr>
              <w:rPr>
                <w:sz w:val="22"/>
                <w:szCs w:val="22"/>
              </w:rPr>
            </w:pPr>
            <w:r w:rsidRPr="00D55AC2">
              <w:rPr>
                <w:sz w:val="22"/>
                <w:szCs w:val="22"/>
              </w:rPr>
              <w:t>Merkel cell carcinoma</w:t>
            </w:r>
          </w:p>
        </w:tc>
      </w:tr>
      <w:tr w:rsidR="00D55AC2" w:rsidRPr="00D55AC2" w14:paraId="326ABAA2" w14:textId="77777777" w:rsidTr="00306845">
        <w:trPr>
          <w:cantSplit/>
          <w:trHeight w:val="410"/>
        </w:trPr>
        <w:tc>
          <w:tcPr>
            <w:tcW w:w="1290" w:type="pct"/>
          </w:tcPr>
          <w:p w14:paraId="36A4FD11" w14:textId="3EF6C518" w:rsidR="00D55AC2" w:rsidRPr="00D55AC2" w:rsidRDefault="00D55AC2" w:rsidP="00B6709E">
            <w:pPr>
              <w:rPr>
                <w:sz w:val="22"/>
                <w:szCs w:val="22"/>
              </w:rPr>
            </w:pPr>
            <w:r w:rsidRPr="00D55AC2">
              <w:rPr>
                <w:sz w:val="22"/>
                <w:szCs w:val="22"/>
              </w:rPr>
              <w:t>C49.A</w:t>
            </w:r>
            <w:r w:rsidR="00DB4FAB">
              <w:rPr>
                <w:sz w:val="22"/>
                <w:szCs w:val="22"/>
              </w:rPr>
              <w:t>-</w:t>
            </w:r>
          </w:p>
        </w:tc>
        <w:tc>
          <w:tcPr>
            <w:tcW w:w="3710" w:type="pct"/>
          </w:tcPr>
          <w:p w14:paraId="728D5109" w14:textId="77777777" w:rsidR="00D55AC2" w:rsidRPr="00D55AC2" w:rsidRDefault="00D55AC2" w:rsidP="00B6709E">
            <w:pPr>
              <w:rPr>
                <w:sz w:val="22"/>
                <w:szCs w:val="22"/>
              </w:rPr>
            </w:pPr>
            <w:r w:rsidRPr="00D55AC2">
              <w:rPr>
                <w:sz w:val="22"/>
                <w:szCs w:val="22"/>
              </w:rPr>
              <w:t>GI stromal tumor</w:t>
            </w:r>
          </w:p>
        </w:tc>
      </w:tr>
      <w:tr w:rsidR="00D55AC2" w:rsidRPr="00D55AC2" w14:paraId="64398DD1" w14:textId="77777777" w:rsidTr="00306845">
        <w:trPr>
          <w:cantSplit/>
          <w:trHeight w:val="410"/>
        </w:trPr>
        <w:tc>
          <w:tcPr>
            <w:tcW w:w="1290" w:type="pct"/>
            <w:vAlign w:val="center"/>
          </w:tcPr>
          <w:p w14:paraId="4386B623" w14:textId="77777777" w:rsidR="00D55AC2" w:rsidRPr="00D55AC2" w:rsidRDefault="00D55AC2" w:rsidP="00B6709E">
            <w:pPr>
              <w:rPr>
                <w:sz w:val="22"/>
                <w:szCs w:val="22"/>
              </w:rPr>
            </w:pPr>
            <w:bookmarkStart w:id="0" w:name="_Hlk99966998"/>
            <w:r w:rsidRPr="00D55AC2">
              <w:rPr>
                <w:sz w:val="22"/>
                <w:szCs w:val="22"/>
              </w:rPr>
              <w:t>C7A.0 – C7A.8</w:t>
            </w:r>
          </w:p>
        </w:tc>
        <w:tc>
          <w:tcPr>
            <w:tcW w:w="3710" w:type="pct"/>
            <w:vAlign w:val="center"/>
          </w:tcPr>
          <w:p w14:paraId="22063C07" w14:textId="77777777" w:rsidR="00D55AC2" w:rsidRPr="00D55AC2" w:rsidRDefault="00D55AC2" w:rsidP="00B6709E">
            <w:pPr>
              <w:rPr>
                <w:sz w:val="22"/>
                <w:szCs w:val="22"/>
              </w:rPr>
            </w:pPr>
            <w:r w:rsidRPr="00D55AC2">
              <w:rPr>
                <w:sz w:val="22"/>
                <w:szCs w:val="22"/>
              </w:rPr>
              <w:t>Malignant carcinoid tumor</w:t>
            </w:r>
            <w:bookmarkEnd w:id="0"/>
            <w:r w:rsidRPr="00D55AC2">
              <w:rPr>
                <w:sz w:val="22"/>
                <w:szCs w:val="22"/>
              </w:rPr>
              <w:t>s</w:t>
            </w:r>
          </w:p>
        </w:tc>
      </w:tr>
      <w:tr w:rsidR="00306845" w:rsidRPr="00D55AC2" w14:paraId="0229AA04" w14:textId="77777777" w:rsidTr="00306845">
        <w:trPr>
          <w:cantSplit/>
          <w:trHeight w:val="410"/>
        </w:trPr>
        <w:tc>
          <w:tcPr>
            <w:tcW w:w="1290" w:type="pct"/>
            <w:vAlign w:val="center"/>
          </w:tcPr>
          <w:p w14:paraId="064B5E90" w14:textId="77777777" w:rsidR="00306845" w:rsidRPr="00306845" w:rsidRDefault="00306845" w:rsidP="00306845">
            <w:pPr>
              <w:rPr>
                <w:b/>
                <w:bCs/>
                <w:sz w:val="22"/>
                <w:szCs w:val="22"/>
              </w:rPr>
            </w:pPr>
            <w:bookmarkStart w:id="1" w:name="_Hlk209689506"/>
            <w:r w:rsidRPr="00306845">
              <w:rPr>
                <w:b/>
                <w:bCs/>
                <w:sz w:val="22"/>
                <w:szCs w:val="22"/>
              </w:rPr>
              <w:t xml:space="preserve">C50.A (C50.A0, </w:t>
            </w:r>
          </w:p>
          <w:p w14:paraId="6A41C083" w14:textId="1477633A" w:rsidR="00306845" w:rsidRPr="00306845" w:rsidRDefault="00306845" w:rsidP="00306845">
            <w:pPr>
              <w:rPr>
                <w:b/>
                <w:bCs/>
                <w:sz w:val="22"/>
                <w:szCs w:val="22"/>
              </w:rPr>
            </w:pPr>
            <w:r w:rsidRPr="00306845">
              <w:rPr>
                <w:b/>
                <w:bCs/>
                <w:sz w:val="22"/>
                <w:szCs w:val="22"/>
              </w:rPr>
              <w:t>C50.A1, C50.A2)</w:t>
            </w:r>
            <w:bookmarkEnd w:id="1"/>
          </w:p>
        </w:tc>
        <w:tc>
          <w:tcPr>
            <w:tcW w:w="3710" w:type="pct"/>
            <w:vAlign w:val="center"/>
          </w:tcPr>
          <w:p w14:paraId="77834637" w14:textId="53C625F8" w:rsidR="00306845" w:rsidRPr="00306845" w:rsidRDefault="00306845" w:rsidP="00B6709E">
            <w:pPr>
              <w:rPr>
                <w:b/>
                <w:bCs/>
                <w:sz w:val="22"/>
                <w:szCs w:val="22"/>
              </w:rPr>
            </w:pPr>
            <w:r w:rsidRPr="00306845">
              <w:rPr>
                <w:b/>
                <w:bCs/>
                <w:sz w:val="22"/>
                <w:szCs w:val="22"/>
              </w:rPr>
              <w:t>Malignant inflammatory neoplasm of breast</w:t>
            </w:r>
          </w:p>
        </w:tc>
      </w:tr>
      <w:tr w:rsidR="00D55AC2" w:rsidRPr="00D55AC2" w14:paraId="2B350AF1" w14:textId="77777777" w:rsidTr="00306845">
        <w:trPr>
          <w:cantSplit/>
          <w:trHeight w:val="410"/>
        </w:trPr>
        <w:tc>
          <w:tcPr>
            <w:tcW w:w="1290" w:type="pct"/>
            <w:vAlign w:val="center"/>
          </w:tcPr>
          <w:p w14:paraId="581C0E6F" w14:textId="7C198C88" w:rsidR="00D55AC2" w:rsidRPr="00D55AC2" w:rsidRDefault="00D55AC2" w:rsidP="00B6709E">
            <w:pPr>
              <w:rPr>
                <w:sz w:val="22"/>
                <w:szCs w:val="22"/>
              </w:rPr>
            </w:pPr>
            <w:r w:rsidRPr="00D55AC2">
              <w:rPr>
                <w:sz w:val="22"/>
                <w:szCs w:val="22"/>
              </w:rPr>
              <w:t>D00. – D09.</w:t>
            </w:r>
          </w:p>
        </w:tc>
        <w:tc>
          <w:tcPr>
            <w:tcW w:w="3710" w:type="pct"/>
            <w:vAlign w:val="center"/>
          </w:tcPr>
          <w:p w14:paraId="47628FD7" w14:textId="56512FD3" w:rsidR="00D55AC2" w:rsidRPr="00D55AC2" w:rsidRDefault="00D55AC2" w:rsidP="00B6709E">
            <w:pPr>
              <w:rPr>
                <w:sz w:val="22"/>
                <w:szCs w:val="22"/>
              </w:rPr>
            </w:pPr>
            <w:r w:rsidRPr="00D55AC2">
              <w:rPr>
                <w:sz w:val="22"/>
                <w:szCs w:val="22"/>
              </w:rPr>
              <w:t>Carcinoma in situ (</w:t>
            </w:r>
            <w:r w:rsidR="007B1582" w:rsidRPr="007B1582">
              <w:rPr>
                <w:sz w:val="22"/>
                <w:szCs w:val="22"/>
              </w:rPr>
              <w:t>Excludes carcinoma in situ tumors of the cervix (D06.)</w:t>
            </w:r>
            <w:r w:rsidR="007B1582">
              <w:rPr>
                <w:sz w:val="22"/>
                <w:szCs w:val="22"/>
              </w:rPr>
              <w:t>,</w:t>
            </w:r>
            <w:r w:rsidR="007B1582" w:rsidRPr="007B1582">
              <w:rPr>
                <w:sz w:val="22"/>
                <w:szCs w:val="22"/>
              </w:rPr>
              <w:t xml:space="preserve"> prostatic intraepithelial neoplasia (PIN III) (8148/2) of the prostate. Other prostate in situ histologies are reportable</w:t>
            </w:r>
            <w:r w:rsidRPr="00D55AC2">
              <w:rPr>
                <w:sz w:val="22"/>
                <w:szCs w:val="22"/>
              </w:rPr>
              <w:t>)</w:t>
            </w:r>
            <w:r w:rsidR="007B1582">
              <w:rPr>
                <w:sz w:val="22"/>
                <w:szCs w:val="22"/>
              </w:rPr>
              <w:t>.</w:t>
            </w:r>
          </w:p>
        </w:tc>
      </w:tr>
      <w:tr w:rsidR="00D55AC2" w:rsidRPr="00D55AC2" w14:paraId="0D62748D" w14:textId="77777777" w:rsidTr="00306845">
        <w:trPr>
          <w:cantSplit/>
          <w:trHeight w:val="410"/>
        </w:trPr>
        <w:tc>
          <w:tcPr>
            <w:tcW w:w="1290" w:type="pct"/>
            <w:vAlign w:val="center"/>
          </w:tcPr>
          <w:p w14:paraId="2CF17F3E" w14:textId="7B312E9F" w:rsidR="00D55AC2" w:rsidRPr="00D55AC2" w:rsidRDefault="00D55AC2" w:rsidP="00B6709E">
            <w:pPr>
              <w:rPr>
                <w:sz w:val="22"/>
                <w:szCs w:val="22"/>
              </w:rPr>
            </w:pPr>
            <w:r w:rsidRPr="00D55AC2">
              <w:rPr>
                <w:sz w:val="22"/>
                <w:szCs w:val="22"/>
              </w:rPr>
              <w:t>D18.</w:t>
            </w:r>
            <w:r w:rsidR="00DB4FAB">
              <w:rPr>
                <w:sz w:val="22"/>
                <w:szCs w:val="22"/>
              </w:rPr>
              <w:t>0</w:t>
            </w:r>
            <w:r w:rsidRPr="00D55AC2">
              <w:rPr>
                <w:sz w:val="22"/>
                <w:szCs w:val="22"/>
              </w:rPr>
              <w:t>2</w:t>
            </w:r>
          </w:p>
        </w:tc>
        <w:tc>
          <w:tcPr>
            <w:tcW w:w="3710" w:type="pct"/>
            <w:vAlign w:val="center"/>
          </w:tcPr>
          <w:p w14:paraId="47AB3022" w14:textId="77777777" w:rsidR="00D55AC2" w:rsidRPr="00D55AC2" w:rsidRDefault="00D55AC2" w:rsidP="00B6709E">
            <w:pPr>
              <w:rPr>
                <w:sz w:val="22"/>
                <w:szCs w:val="22"/>
              </w:rPr>
            </w:pPr>
            <w:r w:rsidRPr="00D55AC2">
              <w:rPr>
                <w:sz w:val="22"/>
                <w:szCs w:val="22"/>
              </w:rPr>
              <w:t>Hemangioma of intracranial structures</w:t>
            </w:r>
          </w:p>
        </w:tc>
      </w:tr>
      <w:tr w:rsidR="00D55AC2" w:rsidRPr="00D55AC2" w14:paraId="583B303C" w14:textId="77777777" w:rsidTr="00306845">
        <w:trPr>
          <w:cantSplit/>
          <w:trHeight w:val="410"/>
        </w:trPr>
        <w:tc>
          <w:tcPr>
            <w:tcW w:w="1290" w:type="pct"/>
            <w:vAlign w:val="center"/>
          </w:tcPr>
          <w:p w14:paraId="151E03CA" w14:textId="718FE4E0" w:rsidR="00D55AC2" w:rsidRPr="00D55AC2" w:rsidRDefault="00D55AC2" w:rsidP="00B6709E">
            <w:pPr>
              <w:rPr>
                <w:sz w:val="22"/>
                <w:szCs w:val="22"/>
              </w:rPr>
            </w:pPr>
            <w:r w:rsidRPr="00D55AC2">
              <w:rPr>
                <w:sz w:val="22"/>
                <w:szCs w:val="22"/>
              </w:rPr>
              <w:t>D32.</w:t>
            </w:r>
            <w:r w:rsidR="002D0A02">
              <w:rPr>
                <w:sz w:val="22"/>
                <w:szCs w:val="22"/>
              </w:rPr>
              <w:t>-</w:t>
            </w:r>
          </w:p>
        </w:tc>
        <w:tc>
          <w:tcPr>
            <w:tcW w:w="3710" w:type="pct"/>
            <w:vAlign w:val="center"/>
          </w:tcPr>
          <w:p w14:paraId="3B84298F" w14:textId="77777777" w:rsidR="00D55AC2" w:rsidRPr="00D55AC2" w:rsidRDefault="00D55AC2" w:rsidP="00B6709E">
            <w:pPr>
              <w:rPr>
                <w:sz w:val="22"/>
                <w:szCs w:val="22"/>
              </w:rPr>
            </w:pPr>
            <w:r w:rsidRPr="00D55AC2">
              <w:rPr>
                <w:sz w:val="22"/>
                <w:szCs w:val="22"/>
              </w:rPr>
              <w:t>Benign neoplasm of meninges (cerebral, spinal and unspecified)</w:t>
            </w:r>
          </w:p>
        </w:tc>
      </w:tr>
      <w:tr w:rsidR="00D55AC2" w:rsidRPr="00D55AC2" w14:paraId="448754F3" w14:textId="77777777" w:rsidTr="00306845">
        <w:trPr>
          <w:cantSplit/>
          <w:trHeight w:val="410"/>
        </w:trPr>
        <w:tc>
          <w:tcPr>
            <w:tcW w:w="1290" w:type="pct"/>
            <w:vAlign w:val="center"/>
          </w:tcPr>
          <w:p w14:paraId="71B64D1A" w14:textId="494DE8E3" w:rsidR="00D55AC2" w:rsidRPr="00D55AC2" w:rsidRDefault="00D55AC2" w:rsidP="00B6709E">
            <w:pPr>
              <w:rPr>
                <w:sz w:val="22"/>
                <w:szCs w:val="22"/>
              </w:rPr>
            </w:pPr>
            <w:r w:rsidRPr="00D55AC2">
              <w:rPr>
                <w:sz w:val="22"/>
                <w:szCs w:val="22"/>
              </w:rPr>
              <w:t>D33.</w:t>
            </w:r>
            <w:r w:rsidR="002D0A02">
              <w:rPr>
                <w:sz w:val="22"/>
                <w:szCs w:val="22"/>
              </w:rPr>
              <w:t>-</w:t>
            </w:r>
          </w:p>
        </w:tc>
        <w:tc>
          <w:tcPr>
            <w:tcW w:w="3710" w:type="pct"/>
            <w:vAlign w:val="center"/>
          </w:tcPr>
          <w:p w14:paraId="79B8E071" w14:textId="77777777" w:rsidR="00D55AC2" w:rsidRPr="00D55AC2" w:rsidRDefault="00D55AC2" w:rsidP="00B6709E">
            <w:pPr>
              <w:rPr>
                <w:sz w:val="22"/>
                <w:szCs w:val="22"/>
              </w:rPr>
            </w:pPr>
            <w:r w:rsidRPr="00D55AC2">
              <w:rPr>
                <w:sz w:val="22"/>
                <w:szCs w:val="22"/>
              </w:rPr>
              <w:t>Benign neoplasm of brain and other parts of central nervous system</w:t>
            </w:r>
          </w:p>
        </w:tc>
      </w:tr>
      <w:tr w:rsidR="00D55AC2" w:rsidRPr="00D55AC2" w14:paraId="2A3DC92C" w14:textId="77777777" w:rsidTr="00306845">
        <w:trPr>
          <w:cantSplit/>
          <w:trHeight w:val="1015"/>
        </w:trPr>
        <w:tc>
          <w:tcPr>
            <w:tcW w:w="1290" w:type="pct"/>
            <w:vAlign w:val="center"/>
          </w:tcPr>
          <w:p w14:paraId="16D2B889" w14:textId="77777777" w:rsidR="00D55AC2" w:rsidRPr="00486511" w:rsidRDefault="00D55AC2" w:rsidP="00B6709E">
            <w:pPr>
              <w:rPr>
                <w:color w:val="000000" w:themeColor="text1"/>
                <w:sz w:val="22"/>
                <w:szCs w:val="22"/>
              </w:rPr>
            </w:pPr>
            <w:r w:rsidRPr="00486511">
              <w:rPr>
                <w:color w:val="000000" w:themeColor="text1"/>
                <w:sz w:val="22"/>
                <w:szCs w:val="22"/>
              </w:rPr>
              <w:t>D35.00-D35.02</w:t>
            </w:r>
          </w:p>
        </w:tc>
        <w:tc>
          <w:tcPr>
            <w:tcW w:w="3710" w:type="pct"/>
            <w:vAlign w:val="center"/>
          </w:tcPr>
          <w:p w14:paraId="2CFE1379" w14:textId="42958E90" w:rsidR="00D55AC2" w:rsidRPr="00486511" w:rsidRDefault="00D55AC2" w:rsidP="00B6709E">
            <w:pPr>
              <w:rPr>
                <w:color w:val="000000" w:themeColor="text1"/>
                <w:sz w:val="22"/>
                <w:szCs w:val="22"/>
              </w:rPr>
            </w:pPr>
            <w:r w:rsidRPr="00486511">
              <w:rPr>
                <w:color w:val="000000" w:themeColor="text1"/>
                <w:sz w:val="22"/>
                <w:szCs w:val="22"/>
              </w:rPr>
              <w:t xml:space="preserve">Benign neoplasm of adrenal gland - pheochromocytoma, medullary paraganglioma, chromaffin paraganglioma, chromaffin tumor, </w:t>
            </w:r>
          </w:p>
        </w:tc>
      </w:tr>
      <w:tr w:rsidR="00D55AC2" w:rsidRPr="00D55AC2" w14:paraId="18C2E43E" w14:textId="77777777" w:rsidTr="00306845">
        <w:trPr>
          <w:cantSplit/>
          <w:trHeight w:val="410"/>
        </w:trPr>
        <w:tc>
          <w:tcPr>
            <w:tcW w:w="1290" w:type="pct"/>
            <w:vAlign w:val="center"/>
          </w:tcPr>
          <w:p w14:paraId="1F5B6A03" w14:textId="77777777" w:rsidR="00D55AC2" w:rsidRPr="00486511" w:rsidRDefault="00D55AC2" w:rsidP="00B6709E">
            <w:pPr>
              <w:rPr>
                <w:color w:val="000000" w:themeColor="text1"/>
                <w:sz w:val="22"/>
                <w:szCs w:val="22"/>
              </w:rPr>
            </w:pPr>
            <w:r w:rsidRPr="00486511">
              <w:rPr>
                <w:color w:val="000000" w:themeColor="text1"/>
                <w:sz w:val="22"/>
                <w:szCs w:val="22"/>
              </w:rPr>
              <w:t>D35.2 - D35.4</w:t>
            </w:r>
          </w:p>
        </w:tc>
        <w:tc>
          <w:tcPr>
            <w:tcW w:w="3710" w:type="pct"/>
            <w:vAlign w:val="center"/>
          </w:tcPr>
          <w:p w14:paraId="10FEC471" w14:textId="77777777" w:rsidR="00D55AC2" w:rsidRPr="00486511" w:rsidRDefault="00D55AC2" w:rsidP="00B6709E">
            <w:pPr>
              <w:rPr>
                <w:color w:val="000000" w:themeColor="text1"/>
                <w:sz w:val="22"/>
                <w:szCs w:val="22"/>
              </w:rPr>
            </w:pPr>
            <w:r w:rsidRPr="00486511">
              <w:rPr>
                <w:color w:val="000000" w:themeColor="text1"/>
                <w:sz w:val="22"/>
                <w:szCs w:val="22"/>
              </w:rPr>
              <w:t>Benign neoplasm of pituitary gland, craniopharyngeal duct and pineal gland</w:t>
            </w:r>
          </w:p>
        </w:tc>
      </w:tr>
      <w:tr w:rsidR="00D55AC2" w:rsidRPr="00D55AC2" w14:paraId="0A673959" w14:textId="77777777" w:rsidTr="00306845">
        <w:trPr>
          <w:cantSplit/>
          <w:trHeight w:val="410"/>
        </w:trPr>
        <w:tc>
          <w:tcPr>
            <w:tcW w:w="1290" w:type="pct"/>
            <w:vAlign w:val="center"/>
          </w:tcPr>
          <w:p w14:paraId="07BAD30D" w14:textId="62B90D5F" w:rsidR="00D55AC2" w:rsidRPr="00486511" w:rsidRDefault="00D55AC2" w:rsidP="00B6709E">
            <w:pPr>
              <w:rPr>
                <w:color w:val="000000" w:themeColor="text1"/>
                <w:sz w:val="22"/>
                <w:szCs w:val="22"/>
              </w:rPr>
            </w:pPr>
            <w:r w:rsidRPr="00486511">
              <w:rPr>
                <w:color w:val="000000" w:themeColor="text1"/>
                <w:sz w:val="22"/>
                <w:szCs w:val="22"/>
              </w:rPr>
              <w:t>D42.</w:t>
            </w:r>
            <w:r w:rsidR="002D0A02">
              <w:rPr>
                <w:color w:val="000000" w:themeColor="text1"/>
                <w:sz w:val="22"/>
                <w:szCs w:val="22"/>
              </w:rPr>
              <w:t>-,</w:t>
            </w:r>
            <w:r w:rsidRPr="00486511">
              <w:rPr>
                <w:color w:val="000000" w:themeColor="text1"/>
                <w:sz w:val="22"/>
                <w:szCs w:val="22"/>
              </w:rPr>
              <w:t xml:space="preserve"> D43.</w:t>
            </w:r>
            <w:r w:rsidR="002D0A0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710" w:type="pct"/>
            <w:vAlign w:val="center"/>
          </w:tcPr>
          <w:p w14:paraId="253F59DD" w14:textId="77777777" w:rsidR="00D55AC2" w:rsidRPr="00486511" w:rsidRDefault="00D55AC2" w:rsidP="00B6709E">
            <w:pPr>
              <w:rPr>
                <w:color w:val="000000" w:themeColor="text1"/>
                <w:sz w:val="22"/>
                <w:szCs w:val="22"/>
              </w:rPr>
            </w:pPr>
            <w:r w:rsidRPr="00486511">
              <w:rPr>
                <w:color w:val="000000" w:themeColor="text1"/>
                <w:sz w:val="22"/>
                <w:szCs w:val="22"/>
              </w:rPr>
              <w:t>Neoplasm of uncertain or unknown behavior of meninges, brain, CNS</w:t>
            </w:r>
          </w:p>
        </w:tc>
      </w:tr>
      <w:tr w:rsidR="00D55AC2" w:rsidRPr="00D55AC2" w14:paraId="692007B1" w14:textId="77777777" w:rsidTr="00306845">
        <w:trPr>
          <w:cantSplit/>
          <w:trHeight w:val="410"/>
        </w:trPr>
        <w:tc>
          <w:tcPr>
            <w:tcW w:w="1290" w:type="pct"/>
            <w:vAlign w:val="center"/>
          </w:tcPr>
          <w:p w14:paraId="350FB871" w14:textId="77777777" w:rsidR="00D55AC2" w:rsidRPr="00D55AC2" w:rsidRDefault="00D55AC2" w:rsidP="00B6709E">
            <w:pPr>
              <w:rPr>
                <w:sz w:val="22"/>
                <w:szCs w:val="22"/>
              </w:rPr>
            </w:pPr>
            <w:r w:rsidRPr="00D55AC2">
              <w:rPr>
                <w:sz w:val="22"/>
                <w:szCs w:val="22"/>
              </w:rPr>
              <w:t>D44.3 – D44.5</w:t>
            </w:r>
          </w:p>
        </w:tc>
        <w:tc>
          <w:tcPr>
            <w:tcW w:w="3710" w:type="pct"/>
            <w:vAlign w:val="center"/>
          </w:tcPr>
          <w:p w14:paraId="372387DD" w14:textId="77777777" w:rsidR="00D55AC2" w:rsidRPr="00D55AC2" w:rsidRDefault="00D55AC2" w:rsidP="00B6709E">
            <w:pPr>
              <w:rPr>
                <w:sz w:val="22"/>
                <w:szCs w:val="22"/>
              </w:rPr>
            </w:pPr>
            <w:r w:rsidRPr="00D55AC2">
              <w:rPr>
                <w:sz w:val="22"/>
                <w:szCs w:val="22"/>
              </w:rPr>
              <w:t>Neoplasm of uncertain behavior of pituitary gland, craniopharyngeal duct and pineal gland</w:t>
            </w:r>
          </w:p>
        </w:tc>
      </w:tr>
      <w:tr w:rsidR="00D55AC2" w:rsidRPr="00D55AC2" w14:paraId="42CD6798" w14:textId="77777777" w:rsidTr="00306845">
        <w:trPr>
          <w:cantSplit/>
          <w:trHeight w:val="410"/>
        </w:trPr>
        <w:tc>
          <w:tcPr>
            <w:tcW w:w="1290" w:type="pct"/>
            <w:vAlign w:val="center"/>
          </w:tcPr>
          <w:p w14:paraId="0CD40C69" w14:textId="77777777" w:rsidR="00D55AC2" w:rsidRPr="00D55AC2" w:rsidRDefault="00D55AC2" w:rsidP="00B6709E">
            <w:pPr>
              <w:rPr>
                <w:sz w:val="22"/>
                <w:szCs w:val="22"/>
              </w:rPr>
            </w:pPr>
            <w:r w:rsidRPr="00D55AC2">
              <w:rPr>
                <w:sz w:val="22"/>
                <w:szCs w:val="22"/>
              </w:rPr>
              <w:t>D45</w:t>
            </w:r>
          </w:p>
        </w:tc>
        <w:tc>
          <w:tcPr>
            <w:tcW w:w="3710" w:type="pct"/>
            <w:vAlign w:val="center"/>
          </w:tcPr>
          <w:p w14:paraId="63381B79" w14:textId="77777777" w:rsidR="006173B9" w:rsidRPr="006173B9" w:rsidRDefault="00D55AC2" w:rsidP="006173B9">
            <w:pPr>
              <w:rPr>
                <w:sz w:val="22"/>
                <w:szCs w:val="22"/>
              </w:rPr>
            </w:pPr>
            <w:r w:rsidRPr="00D55AC2">
              <w:rPr>
                <w:sz w:val="22"/>
                <w:szCs w:val="22"/>
              </w:rPr>
              <w:t>Polycythemia vera (9950/3)</w:t>
            </w:r>
            <w:r w:rsidR="006173B9">
              <w:rPr>
                <w:sz w:val="22"/>
                <w:szCs w:val="22"/>
              </w:rPr>
              <w:t xml:space="preserve">; </w:t>
            </w:r>
            <w:r w:rsidR="006173B9" w:rsidRPr="006173B9">
              <w:rPr>
                <w:sz w:val="22"/>
                <w:szCs w:val="22"/>
              </w:rPr>
              <w:t>Polycythemia vera (9950/3)</w:t>
            </w:r>
          </w:p>
          <w:p w14:paraId="3DECDC54" w14:textId="4482E22D" w:rsidR="00D55AC2" w:rsidRPr="00D55AC2" w:rsidRDefault="006173B9" w:rsidP="006173B9">
            <w:pPr>
              <w:rPr>
                <w:sz w:val="22"/>
                <w:szCs w:val="22"/>
              </w:rPr>
            </w:pPr>
            <w:r w:rsidRPr="006173B9">
              <w:rPr>
                <w:sz w:val="22"/>
                <w:szCs w:val="22"/>
              </w:rPr>
              <w:t>ICD-10-CM Coding instruction note: Excludes familial polycythemia (C75.0), secondary</w:t>
            </w:r>
            <w:r>
              <w:rPr>
                <w:sz w:val="22"/>
                <w:szCs w:val="22"/>
              </w:rPr>
              <w:t xml:space="preserve"> </w:t>
            </w:r>
            <w:r w:rsidRPr="006173B9">
              <w:rPr>
                <w:sz w:val="22"/>
                <w:szCs w:val="22"/>
              </w:rPr>
              <w:t>polycythemia (D75.1)</w:t>
            </w:r>
          </w:p>
        </w:tc>
      </w:tr>
      <w:tr w:rsidR="00486511" w:rsidRPr="00486511" w14:paraId="660F1FCA" w14:textId="77777777" w:rsidTr="00306845">
        <w:trPr>
          <w:cantSplit/>
          <w:trHeight w:val="410"/>
        </w:trPr>
        <w:tc>
          <w:tcPr>
            <w:tcW w:w="1290" w:type="pct"/>
            <w:vAlign w:val="center"/>
          </w:tcPr>
          <w:p w14:paraId="5D0C0D55" w14:textId="7042E753" w:rsidR="00D55AC2" w:rsidRPr="00486511" w:rsidRDefault="00D55AC2" w:rsidP="00B6709E">
            <w:pPr>
              <w:rPr>
                <w:color w:val="000000" w:themeColor="text1"/>
                <w:sz w:val="22"/>
                <w:szCs w:val="22"/>
              </w:rPr>
            </w:pPr>
            <w:r w:rsidRPr="00486511">
              <w:rPr>
                <w:color w:val="000000" w:themeColor="text1"/>
                <w:sz w:val="22"/>
                <w:szCs w:val="22"/>
              </w:rPr>
              <w:t>D46.</w:t>
            </w:r>
            <w:r w:rsidR="002D0A02">
              <w:rPr>
                <w:color w:val="000000" w:themeColor="text1"/>
                <w:sz w:val="22"/>
                <w:szCs w:val="22"/>
              </w:rPr>
              <w:t>-</w:t>
            </w:r>
            <w:r w:rsidRPr="00486511">
              <w:rPr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3710" w:type="pct"/>
            <w:vAlign w:val="center"/>
          </w:tcPr>
          <w:p w14:paraId="32684AEC" w14:textId="2245F296" w:rsidR="00D55AC2" w:rsidRPr="00486511" w:rsidRDefault="00D55AC2" w:rsidP="00B6709E">
            <w:pPr>
              <w:rPr>
                <w:color w:val="000000" w:themeColor="text1"/>
                <w:sz w:val="22"/>
                <w:szCs w:val="22"/>
              </w:rPr>
            </w:pPr>
            <w:r w:rsidRPr="00486511">
              <w:rPr>
                <w:color w:val="000000" w:themeColor="text1"/>
                <w:sz w:val="22"/>
                <w:szCs w:val="22"/>
              </w:rPr>
              <w:t>Myelodysplastic syndromes (9980,9982,9983,9985,9986,9989,9991,9992</w:t>
            </w:r>
            <w:r w:rsidR="00486511" w:rsidRPr="00486511">
              <w:rPr>
                <w:color w:val="000000" w:themeColor="text1"/>
                <w:sz w:val="22"/>
                <w:szCs w:val="22"/>
              </w:rPr>
              <w:t>, 9993</w:t>
            </w:r>
            <w:r w:rsidRPr="00486511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D55AC2" w:rsidRPr="00D55AC2" w14:paraId="2A5A944D" w14:textId="77777777" w:rsidTr="00306845">
        <w:trPr>
          <w:cantSplit/>
          <w:trHeight w:val="410"/>
        </w:trPr>
        <w:tc>
          <w:tcPr>
            <w:tcW w:w="1290" w:type="pct"/>
            <w:vAlign w:val="center"/>
          </w:tcPr>
          <w:p w14:paraId="6D438356" w14:textId="77777777" w:rsidR="00D55AC2" w:rsidRPr="00D55AC2" w:rsidRDefault="00D55AC2" w:rsidP="00B6709E">
            <w:pPr>
              <w:rPr>
                <w:sz w:val="22"/>
                <w:szCs w:val="22"/>
              </w:rPr>
            </w:pPr>
            <w:r w:rsidRPr="00D55AC2">
              <w:rPr>
                <w:sz w:val="22"/>
                <w:szCs w:val="22"/>
              </w:rPr>
              <w:t>D46.A – D46.Z</w:t>
            </w:r>
          </w:p>
        </w:tc>
        <w:tc>
          <w:tcPr>
            <w:tcW w:w="3710" w:type="pct"/>
            <w:vAlign w:val="center"/>
          </w:tcPr>
          <w:p w14:paraId="52127D37" w14:textId="77777777" w:rsidR="00D55AC2" w:rsidRPr="00D55AC2" w:rsidRDefault="00D55AC2" w:rsidP="00B6709E">
            <w:pPr>
              <w:rPr>
                <w:sz w:val="22"/>
                <w:szCs w:val="22"/>
              </w:rPr>
            </w:pPr>
            <w:r w:rsidRPr="00D55AC2">
              <w:rPr>
                <w:sz w:val="22"/>
                <w:szCs w:val="22"/>
              </w:rPr>
              <w:t>Other myelodysplastic syndromes</w:t>
            </w:r>
          </w:p>
        </w:tc>
      </w:tr>
      <w:tr w:rsidR="006173B9" w:rsidRPr="00D55AC2" w14:paraId="3D2D447F" w14:textId="77777777" w:rsidTr="00306845">
        <w:trPr>
          <w:cantSplit/>
          <w:trHeight w:val="410"/>
        </w:trPr>
        <w:tc>
          <w:tcPr>
            <w:tcW w:w="1290" w:type="pct"/>
            <w:vAlign w:val="center"/>
          </w:tcPr>
          <w:p w14:paraId="6FF82855" w14:textId="151AA883" w:rsidR="006173B9" w:rsidRPr="00D55AC2" w:rsidRDefault="006173B9" w:rsidP="006173B9">
            <w:pPr>
              <w:rPr>
                <w:sz w:val="22"/>
                <w:szCs w:val="22"/>
              </w:rPr>
            </w:pPr>
            <w:r w:rsidRPr="00D55AC2">
              <w:rPr>
                <w:sz w:val="22"/>
                <w:szCs w:val="22"/>
              </w:rPr>
              <w:t>D47.02</w:t>
            </w:r>
          </w:p>
        </w:tc>
        <w:tc>
          <w:tcPr>
            <w:tcW w:w="3710" w:type="pct"/>
            <w:vAlign w:val="center"/>
          </w:tcPr>
          <w:p w14:paraId="1E304755" w14:textId="0A33D996" w:rsidR="006173B9" w:rsidRPr="00D55AC2" w:rsidRDefault="006173B9" w:rsidP="006173B9">
            <w:pPr>
              <w:rPr>
                <w:sz w:val="22"/>
                <w:szCs w:val="22"/>
              </w:rPr>
            </w:pPr>
            <w:r w:rsidRPr="006173B9">
              <w:rPr>
                <w:sz w:val="22"/>
                <w:szCs w:val="22"/>
              </w:rPr>
              <w:t>Systemic mastocytosis</w:t>
            </w:r>
          </w:p>
        </w:tc>
      </w:tr>
      <w:tr w:rsidR="006173B9" w:rsidRPr="00D55AC2" w14:paraId="6A815C70" w14:textId="77777777" w:rsidTr="00306845">
        <w:trPr>
          <w:cantSplit/>
          <w:trHeight w:val="410"/>
        </w:trPr>
        <w:tc>
          <w:tcPr>
            <w:tcW w:w="1290" w:type="pct"/>
            <w:vAlign w:val="center"/>
          </w:tcPr>
          <w:p w14:paraId="2FA57737" w14:textId="022F14F4" w:rsidR="006173B9" w:rsidRPr="00D55AC2" w:rsidRDefault="006173B9" w:rsidP="006173B9">
            <w:pPr>
              <w:rPr>
                <w:sz w:val="22"/>
                <w:szCs w:val="22"/>
              </w:rPr>
            </w:pPr>
            <w:r w:rsidRPr="00D55AC2">
              <w:rPr>
                <w:sz w:val="22"/>
                <w:szCs w:val="22"/>
              </w:rPr>
              <w:lastRenderedPageBreak/>
              <w:t>D47.1-D47.9</w:t>
            </w:r>
          </w:p>
        </w:tc>
        <w:tc>
          <w:tcPr>
            <w:tcW w:w="3710" w:type="pct"/>
            <w:vAlign w:val="center"/>
          </w:tcPr>
          <w:p w14:paraId="09341BB0" w14:textId="77777777" w:rsidR="006173B9" w:rsidRDefault="006173B9" w:rsidP="006173B9">
            <w:pPr>
              <w:rPr>
                <w:sz w:val="22"/>
                <w:szCs w:val="22"/>
              </w:rPr>
            </w:pPr>
            <w:r w:rsidRPr="00D55AC2">
              <w:rPr>
                <w:sz w:val="22"/>
                <w:szCs w:val="22"/>
              </w:rPr>
              <w:t>Myeloproliferative diseases (9963, 9975</w:t>
            </w:r>
            <w:r>
              <w:rPr>
                <w:sz w:val="22"/>
                <w:szCs w:val="22"/>
              </w:rPr>
              <w:t>)</w:t>
            </w:r>
          </w:p>
          <w:p w14:paraId="3704D31B" w14:textId="2B620768" w:rsidR="006173B9" w:rsidRDefault="002005BE" w:rsidP="006173B9">
            <w:pPr>
              <w:rPr>
                <w:sz w:val="22"/>
                <w:szCs w:val="22"/>
              </w:rPr>
            </w:pPr>
            <w:r w:rsidRPr="002005BE">
              <w:rPr>
                <w:sz w:val="22"/>
                <w:szCs w:val="22"/>
              </w:rPr>
              <w:t>Essential (hemorrhagic) thrombocythemia (9962/3)</w:t>
            </w:r>
            <w:r>
              <w:rPr>
                <w:sz w:val="22"/>
                <w:szCs w:val="22"/>
              </w:rPr>
              <w:t>;</w:t>
            </w:r>
            <w:r>
              <w:t xml:space="preserve"> </w:t>
            </w:r>
            <w:r w:rsidRPr="002005BE">
              <w:rPr>
                <w:sz w:val="22"/>
                <w:szCs w:val="22"/>
              </w:rPr>
              <w:t>Includes: Essential thrombocytosis, idiopathic hemorrhagic thrombocythemia</w:t>
            </w:r>
          </w:p>
          <w:p w14:paraId="059C47A8" w14:textId="5775B10D" w:rsidR="002005BE" w:rsidRDefault="002005BE" w:rsidP="002005BE">
            <w:pPr>
              <w:rPr>
                <w:sz w:val="22"/>
                <w:szCs w:val="22"/>
              </w:rPr>
            </w:pPr>
            <w:r w:rsidRPr="002005BE">
              <w:rPr>
                <w:sz w:val="22"/>
                <w:szCs w:val="22"/>
              </w:rPr>
              <w:t>Osteomyelofibrosis (9961/3)</w:t>
            </w:r>
            <w:r>
              <w:rPr>
                <w:sz w:val="22"/>
                <w:szCs w:val="22"/>
              </w:rPr>
              <w:t xml:space="preserve">; </w:t>
            </w:r>
            <w:r w:rsidRPr="002005BE">
              <w:rPr>
                <w:sz w:val="22"/>
                <w:szCs w:val="22"/>
              </w:rPr>
              <w:t>Includes: Chronic idiopathic myelofibrosis</w:t>
            </w:r>
          </w:p>
          <w:p w14:paraId="79DB3B5D" w14:textId="10075E56" w:rsidR="002005BE" w:rsidRPr="00D55AC2" w:rsidRDefault="002005BE" w:rsidP="002005BE">
            <w:pPr>
              <w:rPr>
                <w:sz w:val="22"/>
                <w:szCs w:val="22"/>
              </w:rPr>
            </w:pPr>
            <w:r w:rsidRPr="002005BE">
              <w:rPr>
                <w:sz w:val="22"/>
                <w:szCs w:val="22"/>
              </w:rPr>
              <w:t>Neoplasm of uncertain behavior of lymphoid, hematopoietic and related tissue,</w:t>
            </w:r>
            <w:r>
              <w:rPr>
                <w:sz w:val="22"/>
                <w:szCs w:val="22"/>
              </w:rPr>
              <w:t xml:space="preserve"> </w:t>
            </w:r>
            <w:r w:rsidRPr="002005BE">
              <w:rPr>
                <w:sz w:val="22"/>
                <w:szCs w:val="22"/>
              </w:rPr>
              <w:t>unspecified (9970/1, 9931/3)</w:t>
            </w:r>
          </w:p>
        </w:tc>
      </w:tr>
      <w:tr w:rsidR="006173B9" w:rsidRPr="00D55AC2" w14:paraId="20CDB51E" w14:textId="77777777" w:rsidTr="00306845">
        <w:trPr>
          <w:cantSplit/>
          <w:trHeight w:val="410"/>
        </w:trPr>
        <w:tc>
          <w:tcPr>
            <w:tcW w:w="1290" w:type="pct"/>
            <w:vAlign w:val="center"/>
          </w:tcPr>
          <w:p w14:paraId="0CA993F5" w14:textId="77777777" w:rsidR="006173B9" w:rsidRPr="00D55AC2" w:rsidRDefault="006173B9" w:rsidP="006173B9">
            <w:pPr>
              <w:rPr>
                <w:sz w:val="22"/>
                <w:szCs w:val="22"/>
              </w:rPr>
            </w:pPr>
            <w:r w:rsidRPr="00D55AC2">
              <w:rPr>
                <w:sz w:val="22"/>
                <w:szCs w:val="22"/>
              </w:rPr>
              <w:t>D47.Z – D47.Z9</w:t>
            </w:r>
          </w:p>
        </w:tc>
        <w:tc>
          <w:tcPr>
            <w:tcW w:w="3710" w:type="pct"/>
            <w:vAlign w:val="center"/>
          </w:tcPr>
          <w:p w14:paraId="5B72046C" w14:textId="5B3F3642" w:rsidR="002005BE" w:rsidRPr="00FC586B" w:rsidRDefault="002005BE" w:rsidP="002005BE">
            <w:pPr>
              <w:rPr>
                <w:sz w:val="22"/>
                <w:szCs w:val="22"/>
              </w:rPr>
            </w:pPr>
            <w:r w:rsidRPr="00FC586B">
              <w:rPr>
                <w:sz w:val="22"/>
                <w:szCs w:val="22"/>
              </w:rPr>
              <w:t>Neoplasm of uncertain behavior of lymphoid, hematopoietic and related tissue, unspecified (9960/3, 9970/1, 9971/3, 9931/3)</w:t>
            </w:r>
          </w:p>
          <w:p w14:paraId="609DCCFB" w14:textId="14B6C8BD" w:rsidR="006173B9" w:rsidRPr="00FC586B" w:rsidRDefault="002005BE" w:rsidP="00FC586B">
            <w:pPr>
              <w:rPr>
                <w:sz w:val="22"/>
                <w:szCs w:val="22"/>
              </w:rPr>
            </w:pPr>
            <w:r w:rsidRPr="00FC586B">
              <w:rPr>
                <w:sz w:val="22"/>
                <w:szCs w:val="22"/>
              </w:rPr>
              <w:t>Note</w:t>
            </w:r>
            <w:r w:rsidR="00FC586B" w:rsidRPr="00FC586B">
              <w:rPr>
                <w:sz w:val="22"/>
                <w:szCs w:val="22"/>
              </w:rPr>
              <w:t>: As of January 1, 2025, Post Transplant Lymphoproliferative Disorder (PTLD) 9971/1 is reportable as 9971/3 for all cases.</w:t>
            </w:r>
          </w:p>
        </w:tc>
      </w:tr>
      <w:tr w:rsidR="006173B9" w:rsidRPr="00D55AC2" w14:paraId="67A256F9" w14:textId="77777777" w:rsidTr="00306845">
        <w:trPr>
          <w:cantSplit/>
          <w:trHeight w:val="410"/>
        </w:trPr>
        <w:tc>
          <w:tcPr>
            <w:tcW w:w="1290" w:type="pct"/>
            <w:vAlign w:val="center"/>
          </w:tcPr>
          <w:p w14:paraId="0EAA0403" w14:textId="77777777" w:rsidR="006173B9" w:rsidRPr="00D55AC2" w:rsidRDefault="006173B9" w:rsidP="006173B9">
            <w:pPr>
              <w:rPr>
                <w:sz w:val="22"/>
                <w:szCs w:val="22"/>
              </w:rPr>
            </w:pPr>
            <w:r w:rsidRPr="00D55AC2">
              <w:rPr>
                <w:sz w:val="22"/>
                <w:szCs w:val="22"/>
              </w:rPr>
              <w:t>D49.6, D49.7</w:t>
            </w:r>
          </w:p>
        </w:tc>
        <w:tc>
          <w:tcPr>
            <w:tcW w:w="3710" w:type="pct"/>
            <w:vAlign w:val="center"/>
          </w:tcPr>
          <w:p w14:paraId="2B689ED7" w14:textId="77777777" w:rsidR="006173B9" w:rsidRPr="00D55AC2" w:rsidRDefault="006173B9" w:rsidP="006173B9">
            <w:pPr>
              <w:rPr>
                <w:sz w:val="22"/>
                <w:szCs w:val="22"/>
              </w:rPr>
            </w:pPr>
            <w:r w:rsidRPr="00D55AC2">
              <w:rPr>
                <w:sz w:val="22"/>
                <w:szCs w:val="22"/>
              </w:rPr>
              <w:t>Neoplasm of unspecified behavior of brain, endocrine glands and other CNS</w:t>
            </w:r>
          </w:p>
        </w:tc>
      </w:tr>
      <w:tr w:rsidR="006173B9" w:rsidRPr="00D55AC2" w14:paraId="535ACA1C" w14:textId="77777777" w:rsidTr="00306845">
        <w:trPr>
          <w:cantSplit/>
          <w:trHeight w:val="410"/>
        </w:trPr>
        <w:tc>
          <w:tcPr>
            <w:tcW w:w="1290" w:type="pct"/>
            <w:vAlign w:val="center"/>
          </w:tcPr>
          <w:p w14:paraId="59EF897D" w14:textId="5AAE8984" w:rsidR="006173B9" w:rsidRPr="00D55AC2" w:rsidRDefault="006173B9" w:rsidP="006173B9">
            <w:pPr>
              <w:rPr>
                <w:sz w:val="22"/>
                <w:szCs w:val="22"/>
              </w:rPr>
            </w:pPr>
            <w:r w:rsidRPr="00D55AC2">
              <w:rPr>
                <w:sz w:val="22"/>
                <w:szCs w:val="22"/>
              </w:rPr>
              <w:t>D72.11</w:t>
            </w:r>
            <w:r w:rsidR="002D0A02">
              <w:rPr>
                <w:sz w:val="22"/>
                <w:szCs w:val="22"/>
              </w:rPr>
              <w:t>-</w:t>
            </w:r>
          </w:p>
        </w:tc>
        <w:tc>
          <w:tcPr>
            <w:tcW w:w="3710" w:type="pct"/>
            <w:vAlign w:val="center"/>
          </w:tcPr>
          <w:p w14:paraId="557A63FD" w14:textId="690FBA3B" w:rsidR="006173B9" w:rsidRPr="00D55AC2" w:rsidRDefault="002005BE" w:rsidP="006173B9">
            <w:pPr>
              <w:rPr>
                <w:sz w:val="22"/>
                <w:szCs w:val="22"/>
              </w:rPr>
            </w:pPr>
            <w:r w:rsidRPr="002005BE">
              <w:rPr>
                <w:sz w:val="22"/>
                <w:szCs w:val="22"/>
              </w:rPr>
              <w:t>Hypereosonophilic syndrome [HES] (9964/3)</w:t>
            </w:r>
          </w:p>
        </w:tc>
      </w:tr>
      <w:tr w:rsidR="00306845" w:rsidRPr="002005BE" w14:paraId="3748FBC3" w14:textId="77777777" w:rsidTr="00306845">
        <w:trPr>
          <w:cantSplit/>
          <w:trHeight w:val="72"/>
        </w:trPr>
        <w:tc>
          <w:tcPr>
            <w:tcW w:w="1290" w:type="pct"/>
          </w:tcPr>
          <w:p w14:paraId="202452FC" w14:textId="10F797EF" w:rsidR="00306845" w:rsidRPr="002005BE" w:rsidRDefault="00306845" w:rsidP="0030684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N85.02</w:t>
            </w:r>
          </w:p>
        </w:tc>
        <w:tc>
          <w:tcPr>
            <w:tcW w:w="3710" w:type="pct"/>
          </w:tcPr>
          <w:p w14:paraId="2C904F8F" w14:textId="5C6778DB" w:rsidR="00306845" w:rsidRPr="002005BE" w:rsidRDefault="00306845" w:rsidP="00306845">
            <w:pPr>
              <w:rPr>
                <w:color w:val="000000" w:themeColor="text1"/>
                <w:sz w:val="22"/>
                <w:szCs w:val="22"/>
              </w:rPr>
            </w:pPr>
            <w:r w:rsidRPr="00306845">
              <w:rPr>
                <w:color w:val="000000" w:themeColor="text1"/>
                <w:sz w:val="22"/>
                <w:szCs w:val="22"/>
              </w:rPr>
              <w:t>Endometrial intraepithelial neoplasia [EIN]</w:t>
            </w:r>
          </w:p>
        </w:tc>
      </w:tr>
      <w:tr w:rsidR="00306845" w:rsidRPr="002005BE" w14:paraId="21FF6530" w14:textId="77777777" w:rsidTr="00306845">
        <w:trPr>
          <w:cantSplit/>
          <w:trHeight w:val="72"/>
        </w:trPr>
        <w:tc>
          <w:tcPr>
            <w:tcW w:w="1290" w:type="pct"/>
            <w:vAlign w:val="center"/>
          </w:tcPr>
          <w:p w14:paraId="63835739" w14:textId="72C00562" w:rsidR="00306845" w:rsidRPr="00306845" w:rsidRDefault="00306845" w:rsidP="002005BE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bookmarkStart w:id="2" w:name="_Hlk209689518"/>
            <w:r w:rsidRPr="00306845">
              <w:rPr>
                <w:b/>
                <w:bCs/>
                <w:color w:val="000000" w:themeColor="text1"/>
                <w:sz w:val="22"/>
                <w:szCs w:val="22"/>
              </w:rPr>
              <w:t>R85.613</w:t>
            </w:r>
          </w:p>
        </w:tc>
        <w:tc>
          <w:tcPr>
            <w:tcW w:w="3710" w:type="pct"/>
            <w:vAlign w:val="center"/>
          </w:tcPr>
          <w:p w14:paraId="40B6058A" w14:textId="070459F5" w:rsidR="00306845" w:rsidRPr="00306845" w:rsidRDefault="00306845" w:rsidP="002005BE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06845">
              <w:rPr>
                <w:b/>
                <w:bCs/>
                <w:color w:val="000000" w:themeColor="text1"/>
                <w:sz w:val="22"/>
                <w:szCs w:val="22"/>
              </w:rPr>
              <w:t>High grade squamous intraepithelial lesion on cytologic smear of anus (HGSIL)</w:t>
            </w:r>
          </w:p>
        </w:tc>
      </w:tr>
      <w:tr w:rsidR="00306845" w:rsidRPr="002005BE" w14:paraId="17C34757" w14:textId="77777777" w:rsidTr="00306845">
        <w:trPr>
          <w:cantSplit/>
          <w:trHeight w:val="72"/>
        </w:trPr>
        <w:tc>
          <w:tcPr>
            <w:tcW w:w="1290" w:type="pct"/>
            <w:vAlign w:val="center"/>
          </w:tcPr>
          <w:p w14:paraId="26448912" w14:textId="4045B481" w:rsidR="00306845" w:rsidRPr="00306845" w:rsidRDefault="00306845" w:rsidP="002005BE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06845">
              <w:rPr>
                <w:b/>
                <w:bCs/>
                <w:color w:val="000000" w:themeColor="text1"/>
                <w:sz w:val="22"/>
                <w:szCs w:val="22"/>
              </w:rPr>
              <w:t>R85.614</w:t>
            </w:r>
          </w:p>
        </w:tc>
        <w:tc>
          <w:tcPr>
            <w:tcW w:w="3710" w:type="pct"/>
            <w:vAlign w:val="center"/>
          </w:tcPr>
          <w:p w14:paraId="2E4B3F2C" w14:textId="599A358D" w:rsidR="00306845" w:rsidRPr="00306845" w:rsidRDefault="00306845" w:rsidP="002005BE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06845">
              <w:rPr>
                <w:b/>
                <w:bCs/>
                <w:color w:val="000000" w:themeColor="text1"/>
                <w:sz w:val="22"/>
                <w:szCs w:val="22"/>
              </w:rPr>
              <w:t>Cytologic evidence of malignancy on smear of anus</w:t>
            </w:r>
          </w:p>
        </w:tc>
      </w:tr>
      <w:tr w:rsidR="005D4AD5" w:rsidRPr="002005BE" w14:paraId="4935F2B8" w14:textId="77777777" w:rsidTr="00306845">
        <w:trPr>
          <w:cantSplit/>
          <w:trHeight w:val="72"/>
        </w:trPr>
        <w:tc>
          <w:tcPr>
            <w:tcW w:w="1290" w:type="pct"/>
            <w:vAlign w:val="center"/>
          </w:tcPr>
          <w:p w14:paraId="5EB096AA" w14:textId="3403CBC2" w:rsidR="005D4AD5" w:rsidRPr="00306845" w:rsidRDefault="005D4AD5" w:rsidP="002005BE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R87.614</w:t>
            </w:r>
          </w:p>
        </w:tc>
        <w:tc>
          <w:tcPr>
            <w:tcW w:w="3710" w:type="pct"/>
            <w:vAlign w:val="center"/>
          </w:tcPr>
          <w:p w14:paraId="3790CDDA" w14:textId="648DD226" w:rsidR="005D4AD5" w:rsidRPr="00306845" w:rsidRDefault="005D4AD5" w:rsidP="002005BE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D4AD5">
              <w:rPr>
                <w:b/>
                <w:bCs/>
                <w:color w:val="000000" w:themeColor="text1"/>
                <w:sz w:val="22"/>
                <w:szCs w:val="22"/>
              </w:rPr>
              <w:t>Cytologic evidence of malignancy on smear of cervix</w:t>
            </w:r>
          </w:p>
        </w:tc>
      </w:tr>
      <w:tr w:rsidR="00306845" w:rsidRPr="002005BE" w14:paraId="3747D874" w14:textId="77777777" w:rsidTr="00306845">
        <w:trPr>
          <w:cantSplit/>
          <w:trHeight w:val="72"/>
        </w:trPr>
        <w:tc>
          <w:tcPr>
            <w:tcW w:w="1290" w:type="pct"/>
            <w:vAlign w:val="center"/>
          </w:tcPr>
          <w:p w14:paraId="67CF801E" w14:textId="49E0A843" w:rsidR="00306845" w:rsidRPr="00306845" w:rsidRDefault="00306845" w:rsidP="002005BE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06845">
              <w:rPr>
                <w:b/>
                <w:bCs/>
                <w:color w:val="000000" w:themeColor="text1"/>
                <w:sz w:val="22"/>
                <w:szCs w:val="22"/>
              </w:rPr>
              <w:t>R87.623</w:t>
            </w:r>
          </w:p>
        </w:tc>
        <w:tc>
          <w:tcPr>
            <w:tcW w:w="3710" w:type="pct"/>
            <w:vAlign w:val="center"/>
          </w:tcPr>
          <w:p w14:paraId="1E72DAFD" w14:textId="75778AAB" w:rsidR="00306845" w:rsidRPr="00306845" w:rsidRDefault="00306845" w:rsidP="002005BE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06845">
              <w:rPr>
                <w:b/>
                <w:bCs/>
                <w:color w:val="000000" w:themeColor="text1"/>
                <w:sz w:val="22"/>
                <w:szCs w:val="22"/>
              </w:rPr>
              <w:t>High grade squamous intraepithelial lesion on cytologic smear of vagina (HGSIL)</w:t>
            </w:r>
          </w:p>
        </w:tc>
      </w:tr>
      <w:tr w:rsidR="00306845" w:rsidRPr="002005BE" w14:paraId="6DB1EE7E" w14:textId="77777777" w:rsidTr="00306845">
        <w:trPr>
          <w:cantSplit/>
          <w:trHeight w:val="72"/>
        </w:trPr>
        <w:tc>
          <w:tcPr>
            <w:tcW w:w="1290" w:type="pct"/>
            <w:vAlign w:val="center"/>
          </w:tcPr>
          <w:p w14:paraId="2B71D0D5" w14:textId="7919D397" w:rsidR="00306845" w:rsidRPr="00306845" w:rsidRDefault="00306845" w:rsidP="002005BE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06845">
              <w:rPr>
                <w:b/>
                <w:bCs/>
                <w:color w:val="000000" w:themeColor="text1"/>
                <w:sz w:val="22"/>
                <w:szCs w:val="22"/>
              </w:rPr>
              <w:t>R87.624</w:t>
            </w:r>
          </w:p>
        </w:tc>
        <w:tc>
          <w:tcPr>
            <w:tcW w:w="3710" w:type="pct"/>
            <w:vAlign w:val="center"/>
          </w:tcPr>
          <w:p w14:paraId="48653513" w14:textId="5C01DDBE" w:rsidR="00306845" w:rsidRPr="00306845" w:rsidRDefault="00306845" w:rsidP="002005BE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06845">
              <w:rPr>
                <w:b/>
                <w:bCs/>
                <w:color w:val="000000" w:themeColor="text1"/>
                <w:sz w:val="22"/>
                <w:szCs w:val="22"/>
              </w:rPr>
              <w:t>Cytologic evidence of malignancy on smear of vagina</w:t>
            </w:r>
          </w:p>
        </w:tc>
      </w:tr>
      <w:bookmarkEnd w:id="2"/>
      <w:tr w:rsidR="002005BE" w:rsidRPr="002005BE" w14:paraId="69351AEA" w14:textId="77777777" w:rsidTr="00306845">
        <w:trPr>
          <w:cantSplit/>
          <w:trHeight w:val="72"/>
        </w:trPr>
        <w:tc>
          <w:tcPr>
            <w:tcW w:w="1290" w:type="pct"/>
            <w:vAlign w:val="center"/>
          </w:tcPr>
          <w:p w14:paraId="5D086EE9" w14:textId="77777777" w:rsidR="002005BE" w:rsidRPr="002005BE" w:rsidRDefault="002005BE" w:rsidP="002005BE">
            <w:pPr>
              <w:rPr>
                <w:color w:val="000000" w:themeColor="text1"/>
                <w:sz w:val="22"/>
                <w:szCs w:val="22"/>
              </w:rPr>
            </w:pPr>
            <w:r w:rsidRPr="002005BE">
              <w:rPr>
                <w:color w:val="000000" w:themeColor="text1"/>
                <w:sz w:val="22"/>
                <w:szCs w:val="22"/>
              </w:rPr>
              <w:t>R90.0</w:t>
            </w:r>
          </w:p>
        </w:tc>
        <w:tc>
          <w:tcPr>
            <w:tcW w:w="3710" w:type="pct"/>
            <w:vAlign w:val="center"/>
          </w:tcPr>
          <w:p w14:paraId="2793B936" w14:textId="77777777" w:rsidR="002005BE" w:rsidRPr="002005BE" w:rsidRDefault="002005BE" w:rsidP="002005BE">
            <w:pPr>
              <w:rPr>
                <w:color w:val="000000" w:themeColor="text1"/>
                <w:sz w:val="22"/>
                <w:szCs w:val="22"/>
              </w:rPr>
            </w:pPr>
            <w:r w:rsidRPr="002005BE">
              <w:rPr>
                <w:color w:val="000000" w:themeColor="text1"/>
                <w:sz w:val="22"/>
                <w:szCs w:val="22"/>
              </w:rPr>
              <w:t>Intracranial space-occupying lesion found on diagnostic imaging of CNS</w:t>
            </w:r>
          </w:p>
        </w:tc>
      </w:tr>
    </w:tbl>
    <w:p w14:paraId="0C307ABB" w14:textId="77777777" w:rsidR="00D55AC2" w:rsidRPr="001B1F31" w:rsidRDefault="00D55AC2" w:rsidP="000D5DE2">
      <w:pPr>
        <w:ind w:firstLine="720"/>
        <w:rPr>
          <w:color w:val="FF0000"/>
          <w:sz w:val="22"/>
          <w:szCs w:val="22"/>
        </w:rPr>
      </w:pPr>
    </w:p>
    <w:sectPr w:rsidR="00D55AC2" w:rsidRPr="001B1F31" w:rsidSect="00E42783">
      <w:headerReference w:type="default" r:id="rId6"/>
      <w:pgSz w:w="12240" w:h="15840"/>
      <w:pgMar w:top="1440" w:right="1440" w:bottom="1440" w:left="1440" w:header="36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872A6" w14:textId="77777777" w:rsidR="00330646" w:rsidRDefault="00330646" w:rsidP="00330646">
      <w:r>
        <w:separator/>
      </w:r>
    </w:p>
  </w:endnote>
  <w:endnote w:type="continuationSeparator" w:id="0">
    <w:p w14:paraId="5074DEE5" w14:textId="77777777" w:rsidR="00330646" w:rsidRDefault="00330646" w:rsidP="00330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BFC35" w14:textId="77777777" w:rsidR="00330646" w:rsidRDefault="00330646" w:rsidP="00330646">
      <w:r>
        <w:separator/>
      </w:r>
    </w:p>
  </w:footnote>
  <w:footnote w:type="continuationSeparator" w:id="0">
    <w:p w14:paraId="77C5AD47" w14:textId="77777777" w:rsidR="00330646" w:rsidRDefault="00330646" w:rsidP="00330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14CA" w14:textId="77777777" w:rsidR="00306845" w:rsidRPr="00286663" w:rsidRDefault="00306845" w:rsidP="00306845">
    <w:pPr>
      <w:jc w:val="center"/>
      <w:rPr>
        <w:b/>
        <w:bCs/>
        <w:sz w:val="32"/>
        <w:szCs w:val="24"/>
      </w:rPr>
    </w:pPr>
    <w:r w:rsidRPr="00286663">
      <w:rPr>
        <w:b/>
        <w:bCs/>
        <w:sz w:val="32"/>
        <w:szCs w:val="24"/>
      </w:rPr>
      <w:t>FCDS</w:t>
    </w:r>
    <w:r>
      <w:rPr>
        <w:b/>
        <w:bCs/>
        <w:sz w:val="32"/>
        <w:szCs w:val="24"/>
      </w:rPr>
      <w:t xml:space="preserve"> 2026</w:t>
    </w:r>
  </w:p>
  <w:p w14:paraId="43BF3F2E" w14:textId="77777777" w:rsidR="00306845" w:rsidRPr="00286663" w:rsidRDefault="00306845" w:rsidP="00306845">
    <w:pPr>
      <w:jc w:val="center"/>
      <w:rPr>
        <w:b/>
        <w:bCs/>
      </w:rPr>
    </w:pPr>
    <w:r w:rsidRPr="00286663">
      <w:rPr>
        <w:b/>
        <w:bCs/>
      </w:rPr>
      <w:t xml:space="preserve">ICD-10-CM </w:t>
    </w:r>
    <w:proofErr w:type="spellStart"/>
    <w:r w:rsidRPr="00286663">
      <w:rPr>
        <w:b/>
        <w:bCs/>
      </w:rPr>
      <w:t>Casefinding</w:t>
    </w:r>
    <w:proofErr w:type="spellEnd"/>
    <w:r w:rsidRPr="00286663">
      <w:rPr>
        <w:b/>
        <w:bCs/>
      </w:rPr>
      <w:t xml:space="preserve"> List for Reportable Tumors</w:t>
    </w:r>
  </w:p>
  <w:p w14:paraId="54CD4668" w14:textId="5326A953" w:rsidR="00306845" w:rsidRPr="00521978" w:rsidRDefault="00521978" w:rsidP="00521978">
    <w:pPr>
      <w:pStyle w:val="Header"/>
      <w:jc w:val="center"/>
      <w:rPr>
        <w:i/>
        <w:iCs/>
      </w:rPr>
    </w:pPr>
    <w:r w:rsidRPr="00521978">
      <w:rPr>
        <w:rFonts w:ascii="Times New Roman" w:eastAsia="Times New Roman" w:hAnsi="Times New Roman" w:cs="Times New Roman"/>
        <w:b/>
        <w:bCs/>
        <w:i/>
        <w:iCs/>
        <w:snapToGrid w:val="0"/>
        <w:sz w:val="24"/>
        <w:szCs w:val="20"/>
      </w:rPr>
      <w:t>(EFFECTIVE DATES: 10/1/2025-9/30/2026)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646"/>
    <w:rsid w:val="00030496"/>
    <w:rsid w:val="000925AC"/>
    <w:rsid w:val="000A2F20"/>
    <w:rsid w:val="000D5DE2"/>
    <w:rsid w:val="001E3D69"/>
    <w:rsid w:val="001F74D9"/>
    <w:rsid w:val="002005BE"/>
    <w:rsid w:val="00286663"/>
    <w:rsid w:val="002D0A02"/>
    <w:rsid w:val="00306845"/>
    <w:rsid w:val="00330646"/>
    <w:rsid w:val="00373FEB"/>
    <w:rsid w:val="00392519"/>
    <w:rsid w:val="00486511"/>
    <w:rsid w:val="00521978"/>
    <w:rsid w:val="005D4AD5"/>
    <w:rsid w:val="006173B9"/>
    <w:rsid w:val="006F0EF9"/>
    <w:rsid w:val="007157CD"/>
    <w:rsid w:val="007911C6"/>
    <w:rsid w:val="007B1582"/>
    <w:rsid w:val="008162A0"/>
    <w:rsid w:val="009568D0"/>
    <w:rsid w:val="009C53A3"/>
    <w:rsid w:val="009E3DF5"/>
    <w:rsid w:val="00AC7153"/>
    <w:rsid w:val="00B32416"/>
    <w:rsid w:val="00C5195F"/>
    <w:rsid w:val="00D2760A"/>
    <w:rsid w:val="00D55AC2"/>
    <w:rsid w:val="00D87C90"/>
    <w:rsid w:val="00DB25BD"/>
    <w:rsid w:val="00DB4FAB"/>
    <w:rsid w:val="00E1010F"/>
    <w:rsid w:val="00E42783"/>
    <w:rsid w:val="00F62299"/>
    <w:rsid w:val="00FC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07FC96"/>
  <w15:chartTrackingRefBased/>
  <w15:docId w15:val="{CAB2BFF2-B4C6-412A-BF44-9660CC6F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AC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646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30646"/>
  </w:style>
  <w:style w:type="paragraph" w:styleId="Footer">
    <w:name w:val="footer"/>
    <w:basedOn w:val="Normal"/>
    <w:link w:val="FooterChar"/>
    <w:uiPriority w:val="99"/>
    <w:unhideWhenUsed/>
    <w:rsid w:val="00330646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30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412</Words>
  <Characters>2794</Characters>
  <Application>Microsoft Office Word</Application>
  <DocSecurity>0</DocSecurity>
  <Lines>85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Miami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Peace, Steven</dc:creator>
  <cp:keywords/>
  <dc:description/>
  <cp:lastModifiedBy>Herna, Megsys Casuso</cp:lastModifiedBy>
  <cp:revision>4</cp:revision>
  <cp:lastPrinted>2025-03-27T15:23:00Z</cp:lastPrinted>
  <dcterms:created xsi:type="dcterms:W3CDTF">2025-09-25T13:16:00Z</dcterms:created>
  <dcterms:modified xsi:type="dcterms:W3CDTF">2025-09-25T14:46:00Z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70210153828726e43d3486d3354180fccef2e2dd3a88673a906422b973645d2b</vt:lpwstr>
  </property>
</Properties>
</file>